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DE" w:rsidRPr="005259DE" w:rsidRDefault="005259DE" w:rsidP="005259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23"/>
          <w:szCs w:val="23"/>
          <w:lang w:eastAsia="ru-RU"/>
        </w:rPr>
        <w:t>А</w:t>
      </w:r>
      <w:r w:rsidRPr="005259DE">
        <w:rPr>
          <w:rFonts w:ascii="Arial" w:eastAsia="Times New Roman" w:hAnsi="Arial" w:cs="Arial"/>
          <w:b/>
          <w:bCs/>
          <w:color w:val="161616"/>
          <w:kern w:val="36"/>
          <w:sz w:val="23"/>
          <w:szCs w:val="23"/>
          <w:lang w:eastAsia="ru-RU"/>
        </w:rPr>
        <w:t>даптация кафе для маломобильных групп населения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9FDF6EF" wp14:editId="57725B75">
            <wp:extent cx="5931432" cy="744715"/>
            <wp:effectExtent l="0" t="0" r="0" b="0"/>
            <wp:docPr id="1" name="Рисунок 4" descr="http://roscommerc.ru/content_files/user/__1.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commerc.ru/content_files/user/__1.%5B3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21" cy="7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доступности для инвалидов помещений организаций общественного питания регулируется </w:t>
      </w:r>
      <w:hyperlink r:id="rId5" w:anchor="/document/70158682/entry/0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Сводом правил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"Доступность зданий и сооружений для маломобильных групп населения. Актуализированная редакция СНиП 35-01-2001", применение которого носит обязательный характер, и </w:t>
      </w:r>
      <w:hyperlink r:id="rId6" w:anchor="/document/70584346/entry/0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Сводом правил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"Общественные здания и сооружения, доступные маломобильным группам населения. Правила проектирования", который носит добровольный характер и устанавливает повышенные требования.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питания: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 помещениях общественного питания расстановка мебели и оборудования должна обеспечивать беспрепятственное движение инвалидов. Ширина прохода около прилавков для сервирования блюд должна быть не менее 0,9 м. Для обеспечения свободного </w:t>
      </w:r>
      <w:proofErr w:type="spell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огибания</w:t>
      </w:r>
      <w:proofErr w:type="spellEnd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проходе кресла-коляски ширину прохода рекомендуется увеличивать до 1,1 м;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</w:t>
      </w:r>
      <w:proofErr w:type="gram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3 </w:t>
      </w:r>
      <w:r w:rsidRPr="005259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F72775" wp14:editId="357327F6">
                <wp:extent cx="148590" cy="185420"/>
                <wp:effectExtent l="0" t="0" r="0" b="0"/>
                <wp:docPr id="4" name="AutoShape 5" descr="https://demo.garant.ru/document/formula?revision=163202000&amp;text=7F4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675AA" id="AutoShape 5" o:spid="_x0000_s1026" alt="https://demo.garant.ru/document/formula?revision=163202000&amp;text=7F4z" style="width:11.7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</w:t>
      </w:r>
      <w:proofErr w:type="gramEnd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каждое место;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помещениях общественного питания должно быть 5% столов, но не менее одного обеденного стола высотой 0,65-0,8 м. Такие столы должны иметь необходимую ширину между ножками и необходимую глубину столешницы с опорой посередине в соответствии с требованиями </w:t>
      </w:r>
      <w:hyperlink r:id="rId7" w:anchor="/document/70539856/entry/0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СП 136.13330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стойки баров и кафетериев должны иметь пониженную часть - высотой от пола не более 0,8 м и шириной 0,8-1,0 м для обслуживания инвалида на кресле-коляске;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рекомендациями </w:t>
      </w:r>
      <w:hyperlink r:id="rId8" w:anchor="/document/70539856/entry/0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СП 136.13330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вестибюли, холлы, аванзалы, уборные, умывальные и другие вспомогательные помещения, доступные для маломобильных посетителей, следует проектировать с учетом требований </w:t>
      </w:r>
      <w:hyperlink r:id="rId9" w:anchor="/document/70158682/entry/0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СП 59.13330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рекомендациями </w:t>
      </w:r>
      <w:hyperlink r:id="rId10" w:anchor="/document/70539856/entry/0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СП 136.13330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установлен ряд требований к порядку предоставления информации посетителям из числа инвалидов: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креслах-колясках и лиц с нарушением зрения;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меню должно иметь контрастные надписи простым шрифтом и шрифтом Брайля;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качестве альтернативы может использоваться меню предприятия в версии для слабовидящих, доступной в сети Интернет;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специализированные средства информации для МГН должны решаться в соподчинении с основной дизайнерской концепцией интерьера.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   </w:t>
      </w:r>
      <w:hyperlink r:id="rId11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1. Тактильные пиктограммы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 59.13330.2016 п. 6.5.9, СП 136.13330.2012 п. 10.4.2.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Установка: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установка на высоте 1,2-1,6 м.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Тактильные пиктограммы служат ориентиром для посетителей с МГН. Пиктограммы, размещаемые в помещении должны иметь размер 100х100 мм. На данном примере использованы пиктограммы указания направления к выходу, душевой или в кабинет </w:t>
      </w:r>
      <w:proofErr w:type="spell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мед.помощи</w:t>
      </w:r>
      <w:proofErr w:type="spellEnd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помощью данной навигационной системы представители МГН и посетители без инвалидности могут ориентироваться в помещении.</w:t>
      </w:r>
    </w:p>
    <w:p w:rsidR="005259DE" w:rsidRPr="005259DE" w:rsidRDefault="005259DE" w:rsidP="00525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        </w:t>
      </w:r>
      <w:hyperlink r:id="rId12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2. Поручни для инвалидов по периметру помещения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 59.13330.2016 п. 6.2.12, СП 136.13330.2012 п. 9.5, ГОСТ Р 51261.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Установка: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высота - 0,7 м и 0,9 м, беспрерывные. Завершающие горизонтальные части поручня должны иметь </w:t>
      </w:r>
      <w:proofErr w:type="spell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травмобезопасное</w:t>
      </w:r>
      <w:proofErr w:type="spellEnd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исполнение. Поручни округлого сечения должны быть диаметром от 0,03 до 0,05 м.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Поручни в помещении устанавливаются по периметру помещения. Малоподвижные люди используют поручни как опору и способ поддержки при </w:t>
      </w:r>
      <w:proofErr w:type="spell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перемещени</w:t>
      </w:r>
      <w:proofErr w:type="spellEnd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Установка поручней-отбойников обеспечивают максимальную безопасность перемещения маломобильных групп населения, а также являются ориентиром пути.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 </w:t>
      </w: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</w:t>
      </w:r>
      <w:hyperlink r:id="rId13" w:tgtFrame="_blank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Информационный терминал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 59.13330.2016 п. 6.5.7.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Информационные терминалы помогают представителям МГН и людям без инвалидности получать информацию об учреждении. Сборка информационного терминала может осуществляться в соответствии с требованиями заказчика и включать различные элементы: режимы для слабовидящих, для слабослышащих, голосовую озвучку, таксофон и др.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</w:t>
      </w: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</w:t>
      </w:r>
      <w:hyperlink r:id="rId14" w:tgtFrame="_blank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Портативная индукционная система для слабослышащих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 136.13330.2012 п. 10.3.1.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Установка: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инструкции индукционной системы.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Индукционная система позволяет людям со слуховыми аппаратами с комфортом общаться с представителями учреждения, прослушивать аудиозаписи и др. В окнах обслуживания рекомендуется использоваться мобильные индукционные системы.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</w:t>
      </w:r>
      <w:hyperlink r:id="rId15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6. Тактильные наземные указатели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 136.13330.2012, приложение Б. с учетом </w:t>
      </w:r>
      <w:proofErr w:type="gram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изменений  </w:t>
      </w:r>
      <w:hyperlink r:id="rId16" w:history="1"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ГОСТ</w:t>
        </w:r>
        <w:proofErr w:type="gramEnd"/>
        <w:r w:rsidRPr="005259D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 xml:space="preserve"> Р 52875-2018</w:t>
        </w:r>
      </w:hyperlink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Указатели тактильные наземные для инвалидов по зрению.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Высота рифов для предупреждающих напольных ТНУ должна быть 4 мм. Высота рифов для направляющих напольных ТНУ, а также указателей «Поле внимания» и «Поле получения услуги» должна быть от 3 до 4 мм, в зависимости от типа поверхности коммуникационного пути.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</w:t>
      </w: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7. Т</w:t>
      </w:r>
      <w:hyperlink r:id="rId17" w:tgtFrame="_blank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актильная мнемосхема</w:t>
        </w:r>
      </w:hyperlink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или </w:t>
      </w:r>
      <w:hyperlink r:id="rId18" w:tgtFrame="_blank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тактильно-звуковая мнемосхема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 59.13330.2016 п. 6.5.7, СП 136.13330.2012 п. 5.8.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Установка: 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правой стороны на расстоянии 2-4 м от входа.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Тактильная или тактильно-звуковая мнемосхема ориентирует посетителей, в том числе и с инвалидностью по зрению, о расположении объектов в учреждении, о расположении кабинетов и лестниц, о наличии тактильных путей безопасных для перемещения МГН и др.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 </w:t>
      </w: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8.</w:t>
      </w:r>
      <w:hyperlink r:id="rId19" w:tgtFrame="_blank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Контрастные круги для маркировки дверей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 59.13330.2016 п. 5.1.12, СП 136.13330.2012 п. 10.2.11.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Установка: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высоте 0,9-1,0 м и 1,3-1,4 м от уровня пола.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Контрастные круги предупреждают слабовидящих людей о наличии двери на пути их следования. Такая маркировка помогает избежать </w:t>
      </w:r>
      <w:proofErr w:type="spellStart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травмирования</w:t>
      </w:r>
      <w:proofErr w:type="spellEnd"/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быстрее найти вход в здание.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 </w:t>
      </w:r>
      <w:hyperlink r:id="rId20" w:tgtFrame="_blank" w:history="1">
        <w:r w:rsidRPr="005259DE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9.Маркировка дверного проема контрастной лентой</w:t>
        </w:r>
      </w:hyperlink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Регламент: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 59.13330.2016 п. 5.1.12, СП 136.13330.2012 п. 10.2.11.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Установка:</w:t>
      </w: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периметру дверного проема на стене рядом с дверью или на дверных откосах (но не на самой двери).</w:t>
      </w:r>
    </w:p>
    <w:p w:rsidR="005259DE" w:rsidRPr="005259DE" w:rsidRDefault="005259DE" w:rsidP="005259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9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адаптированного входа и указания габаритов двери входной проем маркируется с помощью контрастной ленты, привлекающей внимание.</w:t>
      </w:r>
    </w:p>
    <w:p w:rsidR="009B471E" w:rsidRDefault="009B471E"/>
    <w:sectPr w:rsidR="009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DE"/>
    <w:rsid w:val="005259DE"/>
    <w:rsid w:val="009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D0CF-B4BD-4725-8B3C-7E3E473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roscommerc.ru/katalog/informacionnye_terminaly_dlya_invalidov" TargetMode="External"/><Relationship Id="rId18" Type="http://schemas.openxmlformats.org/officeDocument/2006/relationships/hyperlink" Target="https://roscommerc.ru/katalog/taktilnaya_produkciya/taktilnozvukoviye_mnemoshem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roscommerc.ru/katalog/poruchni_dlya_invalidov/poruchniotbojniki" TargetMode="External"/><Relationship Id="rId17" Type="http://schemas.openxmlformats.org/officeDocument/2006/relationships/hyperlink" Target="https://roscommerc.ru/katalog/taktilnaya_produkciya/taktilnye_mnemoshe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161568" TargetMode="External"/><Relationship Id="rId20" Type="http://schemas.openxmlformats.org/officeDocument/2006/relationships/hyperlink" Target="https://roscommerc.ru/katalog/kontrastnaya_markirovka_dlya_slabovidyaschih/kontrastnaya_signalnaya_lenta_dlya_slabovidyaschih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roscommerc.ru/katalog/taktilnaya_produkciya/taktilnye_piktogrammy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roscommerc.ru/katalog/taktilniye_napolniye_pokritiya/taktilnye_indikatory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roscommerc.ru/katalog/kontrastnaya_markirovka_dlya_slabovidyashih/kontrastnye_krugi_na_dveri_dlya_slabovidyashhi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roscommerc.ru/katalog/indukcionnye_sistemy_dlya_slaboslyshashhih/perenosnye_indukcionnye_sistem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1</cp:revision>
  <dcterms:created xsi:type="dcterms:W3CDTF">2022-05-31T07:55:00Z</dcterms:created>
  <dcterms:modified xsi:type="dcterms:W3CDTF">2022-05-31T07:59:00Z</dcterms:modified>
</cp:coreProperties>
</file>